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theme/theme1.xml" ContentType="application/vnd.openxmlformats-officedocument.theme+xml"/>
  <Override PartName="/word/styles.xml" ContentType="application/vnd.openxmlformats-officedocument.wordprocessingml.styles+xml"/>
  <Override PartName="/word/_rels/document.xml.rels" ContentType="application/vnd.openxmlformats-package.relationships+xml"/>
  <Override PartName="/word/settings.xml" ContentType="application/vnd.openxmlformats-officedocument.wordprocessingml.settings+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tbl>
      <w:tblPr>
        <w:tblW w:w="9242" w:type="dxa"/>
        <w:jc w:val="left"/>
        <w:tblInd w:w="0" w:type="dxa"/>
        <w:tblLayout w:type="fixed"/>
        <w:tblCellMar>
          <w:top w:w="0" w:type="dxa"/>
          <w:left w:w="108" w:type="dxa"/>
          <w:bottom w:w="0" w:type="dxa"/>
          <w:right w:w="108" w:type="dxa"/>
        </w:tblCellMar>
        <w:tblLook w:val="01e0"/>
      </w:tblPr>
      <w:tblGrid>
        <w:gridCol w:w="9242"/>
      </w:tblGrid>
      <w:tr>
        <w:trPr/>
        <w:tc>
          <w:tcPr>
            <w:tcW w:w="9242" w:type="dxa"/>
            <w:tcBorders>
              <w:top w:val="single" w:sz="12" w:space="0" w:color="000000"/>
              <w:left w:val="single" w:sz="12" w:space="0" w:color="000000"/>
              <w:bottom w:val="single" w:sz="12" w:space="0" w:color="000000"/>
              <w:right w:val="single" w:sz="12" w:space="0" w:color="000000"/>
            </w:tcBorders>
            <w:shd w:color="auto" w:fill="F2F2F2" w:val="clear"/>
          </w:tcPr>
          <w:p>
            <w:pPr>
              <w:pStyle w:val="Normal"/>
              <w:widowControl w:val="false"/>
              <w:jc w:val="center"/>
              <w:rPr>
                <w:b/>
                <w:b/>
                <w:sz w:val="22"/>
                <w:szCs w:val="22"/>
              </w:rPr>
            </w:pPr>
            <w:r>
              <w:rPr>
                <w:b/>
                <w:sz w:val="22"/>
                <w:szCs w:val="22"/>
              </w:rPr>
              <w:t>Стандард 1. Структура студијског програма</w:t>
            </w:r>
          </w:p>
          <w:p>
            <w:pPr>
              <w:pStyle w:val="Normal"/>
              <w:widowControl w:val="false"/>
              <w:jc w:val="both"/>
              <w:rPr>
                <w:sz w:val="22"/>
                <w:szCs w:val="22"/>
              </w:rPr>
            </w:pPr>
            <w:r>
              <w:rPr>
                <w:sz w:val="22"/>
                <w:szCs w:val="22"/>
                <w:lang w:val="sr-CS"/>
              </w:rPr>
              <w:t>Студијски програм садржи елементе утврђене законом</w:t>
            </w:r>
            <w:r>
              <w:rPr>
                <w:sz w:val="22"/>
                <w:szCs w:val="22"/>
              </w:rPr>
              <w:t xml:space="preserve"> (који се детаљно исказују у одговарајућим стандардима)</w:t>
            </w:r>
          </w:p>
        </w:tc>
      </w:tr>
      <w:tr>
        <w:trPr/>
        <w:tc>
          <w:tcPr>
            <w:tcW w:w="9242" w:type="dxa"/>
            <w:tcBorders>
              <w:top w:val="single" w:sz="12" w:space="0" w:color="000000"/>
              <w:left w:val="single" w:sz="12" w:space="0" w:color="000000"/>
              <w:bottom w:val="single" w:sz="12" w:space="0" w:color="000000"/>
              <w:right w:val="single" w:sz="12" w:space="0" w:color="000000"/>
            </w:tcBorders>
          </w:tcPr>
          <w:p>
            <w:pPr>
              <w:pStyle w:val="Normal"/>
              <w:widowControl w:val="false"/>
              <w:rPr>
                <w:sz w:val="24"/>
                <w:szCs w:val="24"/>
              </w:rPr>
            </w:pPr>
            <w:r>
              <w:rPr>
                <w:sz w:val="24"/>
                <w:szCs w:val="24"/>
              </w:rPr>
              <w:t xml:space="preserve">The name of the programe is </w:t>
            </w:r>
            <w:r>
              <w:rPr>
                <w:color w:val="000000"/>
                <w:sz w:val="22"/>
                <w:szCs w:val="22"/>
              </w:rPr>
              <w:t>Joint Master Programme in Southeast European Studies</w:t>
            </w:r>
            <w:r>
              <w:rPr>
                <w:sz w:val="24"/>
                <w:szCs w:val="24"/>
              </w:rPr>
              <w:t xml:space="preserve"> – University of Graz and University of Belgrade. This is an interdisciplinary joint master programme developed by two universities constituting the consortium (universities of Graz and Belgrade). The programme is done in English language, it lasts for 4 semesters and bears 120 ECTS. During the mandatory mobility period at the partner University of Graz, students choose the set of courses fitting their particular interests (law, political science, history, cultural studies) in agreement with both academic coordinators. There are three kinds of courses: compulsory, restricted electives, and electives. Compulsory courses are taught during the first two semesters according to the same curricula at both consortium universities. Restricted electives are offered to students during the third semester at the partner university. The thesis (20,000-25,000 words) must be written in English, in accordance with the rules and procedures of the home university, with a short summary in the local language thereof. </w:t>
            </w:r>
          </w:p>
          <w:p>
            <w:pPr>
              <w:pStyle w:val="Normal"/>
              <w:widowControl w:val="false"/>
              <w:rPr>
                <w:sz w:val="24"/>
                <w:szCs w:val="24"/>
              </w:rPr>
            </w:pPr>
            <w:r>
              <w:rPr>
                <w:sz w:val="24"/>
                <w:szCs w:val="24"/>
              </w:rPr>
            </w:r>
          </w:p>
          <w:p>
            <w:pPr>
              <w:pStyle w:val="Normal"/>
              <w:widowControl w:val="false"/>
              <w:rPr>
                <w:sz w:val="24"/>
                <w:szCs w:val="24"/>
              </w:rPr>
            </w:pPr>
            <w:r>
              <w:rPr>
                <w:sz w:val="24"/>
                <w:szCs w:val="24"/>
              </w:rPr>
              <w:t>Title obtained upon completion: Master of Arts in Political Science (Serbian: master politikolog).</w:t>
            </w:r>
          </w:p>
          <w:p>
            <w:pPr>
              <w:pStyle w:val="Normal"/>
              <w:widowControl w:val="false"/>
              <w:rPr>
                <w:sz w:val="24"/>
                <w:szCs w:val="24"/>
              </w:rPr>
            </w:pPr>
            <w:r>
              <w:rPr>
                <w:sz w:val="24"/>
                <w:szCs w:val="24"/>
              </w:rPr>
            </w:r>
          </w:p>
          <w:p>
            <w:pPr>
              <w:pStyle w:val="Normal"/>
              <w:widowControl w:val="false"/>
              <w:rPr>
                <w:color w:val="000000" w:themeColor="text1"/>
                <w:sz w:val="24"/>
                <w:szCs w:val="24"/>
              </w:rPr>
            </w:pPr>
            <w:r>
              <w:rPr>
                <w:color w:val="000000" w:themeColor="text1"/>
                <w:sz w:val="24"/>
                <w:szCs w:val="24"/>
              </w:rPr>
              <w:t>The programme is delivered through lectures, seminars and tutor</w:t>
            </w:r>
            <w:r>
              <w:rPr>
                <w:color w:val="000000" w:themeColor="text1"/>
                <w:sz w:val="24"/>
                <w:szCs w:val="24"/>
              </w:rPr>
              <w:t>i</w:t>
            </w:r>
            <w:r>
              <w:rPr>
                <w:color w:val="000000" w:themeColor="text1"/>
                <w:sz w:val="24"/>
                <w:szCs w:val="24"/>
              </w:rPr>
              <w:t xml:space="preserve">als, i.e. through theoretical and practical teaching. Point value of each course is given in accordance with the European Credit Transfer System (ECTS). The programme allows for choice of courses from other relevant master programmes carried out at the Faculty of Political Science. Conditions for transfer from other study programmes within the same or similar fields of studies are </w:t>
            </w:r>
            <w:r>
              <w:rPr>
                <w:rFonts w:eastAsia="Times New Roman" w:cs="Times New Roman"/>
                <w:color w:val="000000" w:themeColor="text1"/>
                <w:sz w:val="24"/>
                <w:szCs w:val="24"/>
                <w:lang w:val="en-GB" w:eastAsia="sr-Latn-CS"/>
              </w:rPr>
              <w:t>determind</w:t>
            </w:r>
            <w:r>
              <w:rPr>
                <w:color w:val="000000" w:themeColor="text1"/>
                <w:sz w:val="24"/>
                <w:szCs w:val="24"/>
              </w:rPr>
              <w:t xml:space="preserve"> by </w:t>
            </w:r>
            <w:r>
              <w:rPr>
                <w:color w:val="000000" w:themeColor="text1"/>
                <w:sz w:val="24"/>
                <w:szCs w:val="24"/>
              </w:rPr>
              <w:t xml:space="preserve">the </w:t>
            </w:r>
            <w:r>
              <w:rPr>
                <w:color w:val="000000" w:themeColor="text1"/>
                <w:sz w:val="24"/>
                <w:szCs w:val="24"/>
              </w:rPr>
              <w:t xml:space="preserve">faculty and university rules. </w:t>
            </w:r>
          </w:p>
          <w:p>
            <w:pPr>
              <w:pStyle w:val="Normal"/>
              <w:widowControl w:val="false"/>
              <w:ind w:left="720" w:hanging="0"/>
              <w:jc w:val="both"/>
              <w:rPr>
                <w:bCs/>
                <w:sz w:val="22"/>
                <w:szCs w:val="22"/>
              </w:rPr>
            </w:pPr>
            <w:r>
              <w:rPr>
                <w:bCs/>
                <w:sz w:val="22"/>
                <w:szCs w:val="22"/>
              </w:rPr>
              <w:t>.</w:t>
            </w:r>
          </w:p>
        </w:tc>
      </w:tr>
      <w:tr>
        <w:trPr>
          <w:trHeight w:val="526" w:hRule="atLeast"/>
        </w:trPr>
        <w:tc>
          <w:tcPr>
            <w:tcW w:w="9242" w:type="dxa"/>
            <w:tcBorders>
              <w:top w:val="single" w:sz="12" w:space="0" w:color="000000"/>
              <w:left w:val="single" w:sz="12" w:space="0" w:color="000000"/>
              <w:bottom w:val="single" w:sz="12" w:space="0" w:color="000000"/>
              <w:right w:val="single" w:sz="12" w:space="0" w:color="000000"/>
            </w:tcBorders>
            <w:shd w:color="auto" w:fill="F2F2F2" w:val="clear"/>
          </w:tcPr>
          <w:p>
            <w:pPr>
              <w:pStyle w:val="Normal"/>
              <w:widowControl w:val="false"/>
              <w:pBdr>
                <w:bottom w:val="single" w:sz="6" w:space="1" w:color="000000"/>
              </w:pBdr>
              <w:rPr>
                <w:sz w:val="22"/>
                <w:szCs w:val="22"/>
                <w:lang w:val="sr-CS"/>
              </w:rPr>
            </w:pPr>
            <w:r>
              <w:rPr>
                <w:b/>
                <w:sz w:val="22"/>
                <w:szCs w:val="22"/>
                <w:lang w:val="sr-CS"/>
              </w:rPr>
              <w:t>Прилози за стандард 1:</w:t>
            </w:r>
            <w:r>
              <w:rPr>
                <w:sz w:val="22"/>
                <w:szCs w:val="22"/>
                <w:lang w:val="sr-CS"/>
              </w:rPr>
              <w:t xml:space="preserve"> </w:t>
            </w:r>
          </w:p>
          <w:p>
            <w:pPr>
              <w:pStyle w:val="Normal"/>
              <w:widowControl w:val="false"/>
              <w:rPr>
                <w:sz w:val="22"/>
                <w:szCs w:val="22"/>
                <w:lang w:val="sr-CS"/>
              </w:rPr>
            </w:pPr>
            <w:r>
              <w:rPr>
                <w:b/>
                <w:sz w:val="22"/>
                <w:szCs w:val="22"/>
                <w:lang w:val="sr-CS"/>
              </w:rPr>
              <w:t xml:space="preserve">Прилог 1.1. </w:t>
            </w:r>
            <w:r>
              <w:rPr>
                <w:sz w:val="22"/>
                <w:szCs w:val="22"/>
                <w:lang w:val="sr-CS"/>
              </w:rPr>
              <w:t>Публикација установе (у штампаном или електронском облику,  сајт институције).</w:t>
            </w:r>
          </w:p>
        </w:tc>
      </w:tr>
    </w:tbl>
    <w:p>
      <w:pPr>
        <w:pStyle w:val="Normal"/>
        <w:rPr/>
      </w:pPr>
      <w:r>
        <w:rPr/>
      </w:r>
    </w:p>
    <w:sectPr>
      <w:type w:val="nextPage"/>
      <w:pgSz w:w="11906" w:h="16838"/>
      <w:pgMar w:left="1440" w:right="1440" w:header="0" w:top="1440" w:footer="0" w:bottom="1440"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Times New Roman">
    <w:charset w:val="01"/>
    <w:family w:val="roman"/>
    <w:pitch w:val="variable"/>
  </w:font>
  <w:font w:name="Liberation Sans">
    <w:altName w:val="Arial"/>
    <w:charset w:val="01"/>
    <w:family w:val="swiss"/>
    <w:pitch w:val="variable"/>
  </w:font>
</w:fonts>
</file>

<file path=word/settings.xml><?xml version="1.0" encoding="utf-8"?>
<w:settings xmlns:w="http://schemas.openxmlformats.org/wordprocessingml/2006/main">
  <w:zoom w:percent="146"/>
  <w:defaultTabStop w:val="720"/>
  <w:autoHyphenation w:val="true"/>
  <w:compat>
    <w:compatSetting w:name="compatibilityMode" w:uri="http://schemas.microsoft.com/office/word" w:val="12"/>
  </w:compat>
  <w:themeFontLang w:val="en-U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4"/>
        <w:szCs w:val="24"/>
        <w:lang w:val="en-US" w:eastAsia="en-U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3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e56ad9"/>
    <w:pPr>
      <w:widowControl w:val="false"/>
      <w:bidi w:val="0"/>
      <w:spacing w:before="0" w:after="0"/>
      <w:jc w:val="left"/>
    </w:pPr>
    <w:rPr>
      <w:rFonts w:ascii="Times New Roman" w:hAnsi="Times New Roman" w:eastAsia="Times New Roman" w:cs="Times New Roman"/>
      <w:color w:val="auto"/>
      <w:kern w:val="0"/>
      <w:sz w:val="20"/>
      <w:szCs w:val="20"/>
      <w:lang w:val="en-GB" w:eastAsia="sr-Latn-CS" w:bidi="ar-SA"/>
    </w:rPr>
  </w:style>
  <w:style w:type="character" w:styleId="DefaultParagraphFont" w:default="1">
    <w:name w:val="Default Paragraph Font"/>
    <w:uiPriority w:val="1"/>
    <w:semiHidden/>
    <w:unhideWhenUsed/>
    <w:qFormat/>
    <w:rPr/>
  </w:style>
  <w:style w:type="paragraph" w:styleId="Heading">
    <w:name w:val="Heading"/>
    <w:basedOn w:val="Normal"/>
    <w:next w:val="TextBody"/>
    <w:qFormat/>
    <w:pPr>
      <w:keepNext w:val="true"/>
      <w:spacing w:before="240" w:after="120"/>
    </w:pPr>
    <w:rPr>
      <w:rFonts w:ascii="Liberation Sans" w:hAnsi="Liberation Sans" w:eastAsia="PingFang SC" w:cs="Arial Unicode MS"/>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Arial Unicode MS"/>
    </w:rPr>
  </w:style>
  <w:style w:type="paragraph" w:styleId="Caption">
    <w:name w:val="Caption"/>
    <w:basedOn w:val="Normal"/>
    <w:qFormat/>
    <w:pPr>
      <w:suppressLineNumbers/>
      <w:spacing w:before="120" w:after="120"/>
    </w:pPr>
    <w:rPr>
      <w:rFonts w:cs="Arial Unicode MS"/>
      <w:i/>
      <w:iCs/>
      <w:sz w:val="24"/>
      <w:szCs w:val="24"/>
    </w:rPr>
  </w:style>
  <w:style w:type="paragraph" w:styleId="Index">
    <w:name w:val="Index"/>
    <w:basedOn w:val="Normal"/>
    <w:qFormat/>
    <w:pPr>
      <w:suppressLineNumbers/>
    </w:pPr>
    <w:rPr>
      <w:rFonts w:cs="Arial Unicode MS"/>
    </w:rPr>
  </w:style>
  <w:style w:type="numbering" w:styleId="NoList" w:default="1">
    <w:name w:val="No List"/>
    <w:uiPriority w:val="99"/>
    <w:semiHidden/>
    <w:unhideWhenUsed/>
    <w:qFormat/>
  </w:style>
  <w:style w:type="table" w:default="1" w:styleId="TableNormal">
    <w:name w:val="Normal Table"/>
    <w:uiPriority w:val="99"/>
    <w:semiHidden/>
    <w:unhideWhenUsed/>
    <w:qFormat/>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Application>LibreOffice/7.1.3.2$MacOSX_X86_64 LibreOffice_project/47f78053abe362b9384784d31a6e56f8511eb1c1</Application>
  <AppVersion>15.0000</AppVersion>
  <Pages>1</Pages>
  <Words>281</Words>
  <Characters>1668</Characters>
  <CharactersWithSpaces>1946</CharactersWithSpaces>
  <Paragraphs>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2021-06-14T10:39:00Z</dcterms:created>
  <dc:creator>Dušan Pavlović</dc:creator>
  <dc:description/>
  <dc:language>en-US</dc:language>
  <cp:lastModifiedBy/>
  <cp:lastPrinted>2021-06-15T10:36:15Z</cp:lastPrinted>
  <dcterms:modified xsi:type="dcterms:W3CDTF">2021-06-15T10:37:58Z</dcterms:modified>
  <cp:revision>6</cp:revision>
  <dc:subject/>
  <dc:title/>
</cp:coreProperties>
</file>

<file path=docProps/custom.xml><?xml version="1.0" encoding="utf-8"?>
<Properties xmlns="http://schemas.openxmlformats.org/officeDocument/2006/custom-properties" xmlns:vt="http://schemas.openxmlformats.org/officeDocument/2006/docPropsVTypes"/>
</file>